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A895" w14:textId="77777777" w:rsidR="003F008D" w:rsidRDefault="003F008D" w:rsidP="003F008D">
      <w:pPr>
        <w:autoSpaceDE w:val="0"/>
        <w:autoSpaceDN w:val="0"/>
        <w:adjustRightInd w:val="0"/>
        <w:jc w:val="center"/>
        <w:rPr>
          <w:rFonts w:asciiTheme="minorHAnsi" w:hAnsiTheme="minorHAnsi" w:cstheme="minorHAnsi"/>
          <w:b/>
          <w:color w:val="C00000"/>
          <w:sz w:val="28"/>
        </w:rPr>
      </w:pPr>
    </w:p>
    <w:p w14:paraId="38F7AF12" w14:textId="1E0FEE65" w:rsidR="008467DF" w:rsidRPr="003F008D" w:rsidRDefault="004C32DD" w:rsidP="003F008D">
      <w:pPr>
        <w:autoSpaceDE w:val="0"/>
        <w:autoSpaceDN w:val="0"/>
        <w:adjustRightInd w:val="0"/>
        <w:jc w:val="center"/>
        <w:rPr>
          <w:rFonts w:asciiTheme="minorHAnsi" w:hAnsiTheme="minorHAnsi" w:cstheme="minorHAnsi"/>
          <w:b/>
          <w:color w:val="C00000"/>
          <w:sz w:val="36"/>
          <w:szCs w:val="22"/>
        </w:rPr>
      </w:pPr>
      <w:r w:rsidRPr="003F008D">
        <w:rPr>
          <w:rFonts w:asciiTheme="minorHAnsi" w:hAnsiTheme="minorHAnsi" w:cstheme="minorHAnsi"/>
          <w:b/>
          <w:color w:val="C00000"/>
          <w:sz w:val="36"/>
          <w:szCs w:val="22"/>
        </w:rPr>
        <w:t xml:space="preserve">Abstracts </w:t>
      </w:r>
      <w:r w:rsidR="005C4B52" w:rsidRPr="003F008D">
        <w:rPr>
          <w:rFonts w:asciiTheme="minorHAnsi" w:hAnsiTheme="minorHAnsi" w:cstheme="minorHAnsi"/>
          <w:b/>
          <w:color w:val="C00000"/>
          <w:sz w:val="36"/>
          <w:szCs w:val="22"/>
        </w:rPr>
        <w:t xml:space="preserve">Submissions </w:t>
      </w:r>
      <w:r w:rsidR="00AA0738" w:rsidRPr="003F008D">
        <w:rPr>
          <w:rFonts w:asciiTheme="minorHAnsi" w:hAnsiTheme="minorHAnsi" w:cstheme="minorHAnsi"/>
          <w:b/>
          <w:color w:val="C00000"/>
          <w:sz w:val="36"/>
          <w:szCs w:val="22"/>
        </w:rPr>
        <w:t xml:space="preserve">due </w:t>
      </w:r>
      <w:r w:rsidR="00DA5BEB" w:rsidRPr="003F008D">
        <w:rPr>
          <w:rFonts w:asciiTheme="minorHAnsi" w:hAnsiTheme="minorHAnsi" w:cstheme="minorHAnsi"/>
          <w:b/>
          <w:color w:val="C00000"/>
          <w:sz w:val="36"/>
          <w:szCs w:val="22"/>
        </w:rPr>
        <w:t>1</w:t>
      </w:r>
      <w:r w:rsidR="00F867F3" w:rsidRPr="003F008D">
        <w:rPr>
          <w:rFonts w:asciiTheme="minorHAnsi" w:hAnsiTheme="minorHAnsi" w:cstheme="minorHAnsi"/>
          <w:b/>
          <w:color w:val="C00000"/>
          <w:sz w:val="36"/>
          <w:szCs w:val="22"/>
        </w:rPr>
        <w:t xml:space="preserve"> </w:t>
      </w:r>
      <w:r w:rsidR="001C3B85">
        <w:rPr>
          <w:rFonts w:asciiTheme="minorHAnsi" w:hAnsiTheme="minorHAnsi" w:cstheme="minorHAnsi"/>
          <w:b/>
          <w:color w:val="C00000"/>
          <w:sz w:val="36"/>
          <w:szCs w:val="22"/>
        </w:rPr>
        <w:t>May</w:t>
      </w:r>
      <w:r w:rsidR="00F867F3" w:rsidRPr="003F008D">
        <w:rPr>
          <w:rFonts w:asciiTheme="minorHAnsi" w:hAnsiTheme="minorHAnsi" w:cstheme="minorHAnsi"/>
          <w:b/>
          <w:color w:val="C00000"/>
          <w:sz w:val="36"/>
          <w:szCs w:val="22"/>
        </w:rPr>
        <w:t xml:space="preserve"> 202</w:t>
      </w:r>
      <w:r w:rsidR="003F008D" w:rsidRPr="003F008D">
        <w:rPr>
          <w:rFonts w:asciiTheme="minorHAnsi" w:hAnsiTheme="minorHAnsi" w:cstheme="minorHAnsi"/>
          <w:b/>
          <w:color w:val="C00000"/>
          <w:sz w:val="36"/>
          <w:szCs w:val="22"/>
        </w:rPr>
        <w:t>2</w:t>
      </w:r>
    </w:p>
    <w:p w14:paraId="332111CF" w14:textId="77777777" w:rsidR="00E46873" w:rsidRPr="00F867F3" w:rsidRDefault="00E46873" w:rsidP="00E46873">
      <w:pPr>
        <w:autoSpaceDE w:val="0"/>
        <w:autoSpaceDN w:val="0"/>
        <w:adjustRightInd w:val="0"/>
        <w:jc w:val="both"/>
        <w:rPr>
          <w:rFonts w:asciiTheme="minorHAnsi" w:hAnsiTheme="minorHAnsi" w:cstheme="minorHAnsi"/>
          <w:sz w:val="8"/>
          <w:szCs w:val="8"/>
        </w:rPr>
      </w:pPr>
    </w:p>
    <w:p w14:paraId="73827F55" w14:textId="54C96EB9" w:rsidR="00DE3927" w:rsidRPr="00FB0EB5" w:rsidRDefault="00DE3927" w:rsidP="00DE3927">
      <w:pPr>
        <w:autoSpaceDE w:val="0"/>
        <w:autoSpaceDN w:val="0"/>
        <w:adjustRightInd w:val="0"/>
        <w:jc w:val="both"/>
        <w:rPr>
          <w:b/>
          <w:i/>
          <w:color w:val="auto"/>
          <w:sz w:val="22"/>
          <w:szCs w:val="22"/>
        </w:rPr>
      </w:pPr>
      <w:r w:rsidRPr="00F1043A">
        <w:rPr>
          <w:rFonts w:asciiTheme="minorHAnsi" w:hAnsiTheme="minorHAnsi" w:cstheme="minorHAnsi"/>
          <w:sz w:val="22"/>
          <w:szCs w:val="22"/>
        </w:rPr>
        <w:t xml:space="preserve">All sessions will be unclassified and open to the general T&amp;E community. Abstracts will be reviewed for a presentation during a session or as a poster paper. Abstracts should be noncommercial in scope, pertinent to technical topic, no longer than 500 words and releasable to the public. Please advise us if your abstract cannot be posted prior to the workshop. Once abstracts are accepted, authors will be notified and will be given the contact information for their Session Chair. Authors can choose to write a paper and present or abstain from writing the paper and make a presentation only. </w:t>
      </w:r>
      <w:r w:rsidRPr="00F1043A">
        <w:rPr>
          <w:rFonts w:asciiTheme="minorHAnsi" w:hAnsiTheme="minorHAnsi" w:cstheme="minorHAnsi"/>
          <w:b/>
          <w:i/>
          <w:sz w:val="22"/>
          <w:szCs w:val="22"/>
        </w:rPr>
        <w:t>If required by your organization, p</w:t>
      </w:r>
      <w:r w:rsidRPr="00F1043A">
        <w:rPr>
          <w:rFonts w:asciiTheme="minorHAnsi" w:hAnsiTheme="minorHAnsi" w:cstheme="minorHAnsi"/>
          <w:b/>
          <w:i/>
          <w:color w:val="auto"/>
          <w:sz w:val="22"/>
          <w:szCs w:val="22"/>
        </w:rPr>
        <w:t>lease start your internal release process as soon as possible.</w:t>
      </w:r>
    </w:p>
    <w:p w14:paraId="705BDAE9" w14:textId="77777777" w:rsidR="00DE3927" w:rsidRPr="00FB0EB5" w:rsidRDefault="00DE3927" w:rsidP="00DE3927">
      <w:pPr>
        <w:autoSpaceDE w:val="0"/>
        <w:autoSpaceDN w:val="0"/>
        <w:adjustRightInd w:val="0"/>
        <w:jc w:val="both"/>
        <w:rPr>
          <w:b/>
          <w:i/>
          <w:color w:val="auto"/>
          <w:sz w:val="8"/>
          <w:szCs w:val="8"/>
        </w:rPr>
      </w:pPr>
    </w:p>
    <w:p w14:paraId="0EEA0061" w14:textId="77777777" w:rsidR="00DE3927" w:rsidRPr="00F66ECE" w:rsidRDefault="00DE3927" w:rsidP="00DE3927">
      <w:pPr>
        <w:autoSpaceDE w:val="0"/>
        <w:autoSpaceDN w:val="0"/>
        <w:adjustRightInd w:val="0"/>
        <w:jc w:val="both"/>
        <w:rPr>
          <w:rFonts w:asciiTheme="minorHAnsi" w:hAnsiTheme="minorHAnsi" w:cstheme="minorHAnsi"/>
          <w:sz w:val="16"/>
          <w:szCs w:val="16"/>
        </w:rPr>
      </w:pPr>
    </w:p>
    <w:p w14:paraId="421D33B9" w14:textId="77777777" w:rsidR="00DE3927" w:rsidRPr="00F1043A" w:rsidRDefault="00DE3927" w:rsidP="00DE3927">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55619AB" w14:textId="77777777" w:rsidR="00DE3927" w:rsidRPr="00F1043A" w:rsidRDefault="00DE3927" w:rsidP="00DE3927">
      <w:pPr>
        <w:autoSpaceDE w:val="0"/>
        <w:autoSpaceDN w:val="0"/>
        <w:adjustRightInd w:val="0"/>
        <w:jc w:val="both"/>
        <w:rPr>
          <w:rFonts w:asciiTheme="minorHAnsi" w:eastAsia="Calibri" w:hAnsiTheme="minorHAnsi" w:cstheme="minorHAnsi"/>
          <w:kern w:val="0"/>
          <w:sz w:val="8"/>
          <w:szCs w:val="8"/>
        </w:rPr>
      </w:pPr>
    </w:p>
    <w:p w14:paraId="0323B0AF"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0B3DCAEC"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5C9E6CB1"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44BCB289"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161A0013" w14:textId="77777777" w:rsidR="00DE3927" w:rsidRPr="00F1043A" w:rsidRDefault="00DE3927" w:rsidP="00DE3927">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last 20 minutes, with an additional 10 minutes for questions. Technical Track Session presentations give quick holistic overviews of interesting emerging topics with a concentration on fundamentals and projection about the future of these topics.</w:t>
      </w:r>
    </w:p>
    <w:p w14:paraId="7E818542" w14:textId="77777777" w:rsidR="00DE3927" w:rsidRPr="00F1043A" w:rsidRDefault="00DE3927" w:rsidP="00DE3927">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DE3927" w:rsidRDefault="00E46873" w:rsidP="00E46873">
      <w:pPr>
        <w:autoSpaceDE w:val="0"/>
        <w:autoSpaceDN w:val="0"/>
        <w:adjustRightInd w:val="0"/>
        <w:jc w:val="both"/>
        <w:rPr>
          <w:rFonts w:asciiTheme="minorHAnsi" w:hAnsiTheme="minorHAnsi" w:cstheme="minorHAnsi"/>
          <w:color w:val="auto"/>
          <w:sz w:val="21"/>
          <w:szCs w:val="21"/>
        </w:rPr>
      </w:pPr>
    </w:p>
    <w:p w14:paraId="50BEDBDE" w14:textId="0C5D4089" w:rsidR="00E46873" w:rsidRPr="00F867F3" w:rsidRDefault="00E46873" w:rsidP="00E46873">
      <w:pPr>
        <w:autoSpaceDE w:val="0"/>
        <w:autoSpaceDN w:val="0"/>
        <w:adjustRightInd w:val="0"/>
        <w:jc w:val="center"/>
        <w:rPr>
          <w:rFonts w:asciiTheme="minorHAnsi" w:hAnsiTheme="minorHAnsi" w:cstheme="minorHAnsi"/>
          <w:color w:val="auto"/>
          <w:sz w:val="28"/>
          <w:szCs w:val="22"/>
        </w:rPr>
      </w:pPr>
      <w:r w:rsidRPr="00F867F3">
        <w:rPr>
          <w:rFonts w:asciiTheme="minorHAnsi" w:eastAsia="Calibri" w:hAnsiTheme="minorHAnsi" w:cstheme="minorHAnsi"/>
          <w:b/>
          <w:bCs/>
          <w:color w:val="auto"/>
          <w:kern w:val="0"/>
          <w:sz w:val="28"/>
          <w:szCs w:val="22"/>
        </w:rPr>
        <w:t xml:space="preserve">Abstracts must be submitted to </w:t>
      </w:r>
      <w:hyperlink r:id="rId7" w:history="1">
        <w:r w:rsidR="001C3B85" w:rsidRPr="001C3B85">
          <w:rPr>
            <w:rStyle w:val="Hyperlink"/>
            <w:rFonts w:asciiTheme="minorHAnsi" w:eastAsia="Calibri" w:hAnsiTheme="minorHAnsi" w:cstheme="minorHAnsi"/>
            <w:b/>
            <w:bCs/>
            <w:kern w:val="0"/>
            <w:sz w:val="28"/>
            <w:szCs w:val="22"/>
          </w:rPr>
          <w:t>Cyber@itea.org</w:t>
        </w:r>
      </w:hyperlink>
      <w:r w:rsidR="001C3B85">
        <w:rPr>
          <w:rFonts w:asciiTheme="minorHAnsi" w:eastAsia="Calibri" w:hAnsiTheme="minorHAnsi" w:cstheme="minorHAnsi"/>
          <w:b/>
          <w:bCs/>
          <w:color w:val="auto"/>
          <w:kern w:val="0"/>
          <w:sz w:val="28"/>
          <w:szCs w:val="22"/>
        </w:rPr>
        <w:t xml:space="preserve"> </w:t>
      </w:r>
    </w:p>
    <w:p w14:paraId="4505B25C" w14:textId="77777777" w:rsidR="002E3C89" w:rsidRPr="00F867F3" w:rsidRDefault="002E3C89" w:rsidP="00E46873">
      <w:pPr>
        <w:autoSpaceDE w:val="0"/>
        <w:autoSpaceDN w:val="0"/>
        <w:adjustRightInd w:val="0"/>
        <w:jc w:val="both"/>
        <w:rPr>
          <w:rFonts w:asciiTheme="minorHAnsi" w:hAnsiTheme="minorHAnsi" w:cstheme="minorHAnsi"/>
          <w:color w:val="auto"/>
          <w:sz w:val="8"/>
          <w:szCs w:val="8"/>
        </w:rPr>
      </w:pPr>
    </w:p>
    <w:p w14:paraId="6BD4A0ED" w14:textId="10D6453F" w:rsidR="00E46873" w:rsidRPr="00DE3927" w:rsidRDefault="00DE3927" w:rsidP="00DE3927">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Pr="00F1043A">
        <w:rPr>
          <w:rFonts w:asciiTheme="minorHAnsi" w:hAnsiTheme="minorHAnsi" w:cstheme="minorHAnsi"/>
          <w:color w:val="auto"/>
          <w:sz w:val="22"/>
          <w:szCs w:val="22"/>
        </w:rPr>
        <w:t xml:space="preserve"> </w:t>
      </w:r>
      <w:r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This form </w:t>
      </w:r>
      <w:r w:rsidRPr="00F1043A">
        <w:rPr>
          <w:rFonts w:asciiTheme="minorHAnsi" w:hAnsiTheme="minorHAnsi" w:cstheme="minorHAnsi"/>
          <w:color w:val="auto"/>
          <w:sz w:val="22"/>
          <w:szCs w:val="22"/>
          <w:u w:val="single"/>
        </w:rPr>
        <w:t>DOES NOT</w:t>
      </w:r>
      <w:r w:rsidRPr="00F1043A">
        <w:rPr>
          <w:rFonts w:asciiTheme="minorHAnsi" w:hAnsiTheme="minorHAnsi" w:cstheme="minorHAnsi"/>
          <w:color w:val="auto"/>
          <w:sz w:val="22"/>
          <w:szCs w:val="22"/>
        </w:rPr>
        <w:t xml:space="preserve"> take the place </w:t>
      </w:r>
      <w:r w:rsidRPr="001C3B85">
        <w:rPr>
          <w:rFonts w:asciiTheme="minorHAnsi" w:hAnsiTheme="minorHAnsi" w:cstheme="minorHAnsi"/>
          <w:color w:val="auto"/>
          <w:sz w:val="22"/>
          <w:szCs w:val="22"/>
        </w:rPr>
        <w:t xml:space="preserve">of the COPYRIGHT Agreement and Release Form that are required when submitting a paper for consideration for publication in </w:t>
      </w:r>
      <w:r w:rsidRPr="001C3B85">
        <w:rPr>
          <w:rFonts w:asciiTheme="minorHAnsi" w:hAnsiTheme="minorHAnsi" w:cstheme="minorHAnsi"/>
          <w:i/>
          <w:iCs/>
          <w:color w:val="auto"/>
          <w:sz w:val="22"/>
          <w:szCs w:val="22"/>
        </w:rPr>
        <w:t>The ITEA Journal of Test and Evaluation.</w:t>
      </w:r>
      <w:r w:rsidRPr="001C3B85">
        <w:rPr>
          <w:rFonts w:asciiTheme="minorHAnsi" w:hAnsiTheme="minorHAnsi" w:cstheme="minorHAnsi"/>
          <w:color w:val="auto"/>
          <w:sz w:val="22"/>
          <w:szCs w:val="22"/>
        </w:rPr>
        <w:t xml:space="preserve"> Please contact us at </w:t>
      </w:r>
      <w:hyperlink r:id="rId8" w:history="1">
        <w:r w:rsidRPr="001C3B85">
          <w:rPr>
            <w:rStyle w:val="Hyperlink"/>
            <w:rFonts w:asciiTheme="minorHAnsi" w:hAnsiTheme="minorHAnsi" w:cstheme="minorHAnsi"/>
            <w:sz w:val="22"/>
            <w:szCs w:val="22"/>
          </w:rPr>
          <w:t>Journal@itea.org</w:t>
        </w:r>
      </w:hyperlink>
      <w:r w:rsidRPr="001C3B85">
        <w:rPr>
          <w:rFonts w:asciiTheme="minorHAnsi" w:hAnsiTheme="minorHAnsi" w:cstheme="minorHAnsi"/>
          <w:color w:val="auto"/>
          <w:sz w:val="22"/>
          <w:szCs w:val="22"/>
        </w:rPr>
        <w:t xml:space="preserve"> if you have any questions, or if you are interested in submitting your paper to The Journal. For the guidelines please visit </w:t>
      </w:r>
      <w:hyperlink r:id="rId9" w:history="1">
        <w:r w:rsidR="00507C76" w:rsidRPr="001C3B85">
          <w:rPr>
            <w:rStyle w:val="Hyperlink"/>
            <w:rFonts w:asciiTheme="minorHAnsi" w:hAnsiTheme="minorHAnsi" w:cstheme="minorHAnsi"/>
            <w:sz w:val="22"/>
            <w:szCs w:val="22"/>
          </w:rPr>
          <w:t>https://www.itea.org/submissions/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CC48E2">
        <w:rPr>
          <w:rFonts w:asciiTheme="minorHAnsi" w:hAnsiTheme="minorHAnsi" w:cstheme="minorHAnsi"/>
          <w:b/>
          <w:i/>
          <w:iCs/>
          <w:color w:val="C00000"/>
          <w:sz w:val="32"/>
          <w:szCs w:val="21"/>
        </w:rPr>
        <w:t>LastName_FirstName_PresentationTitle</w:t>
      </w:r>
      <w:proofErr w:type="spellEnd"/>
      <w:r w:rsidRPr="00CC48E2">
        <w:rPr>
          <w:rFonts w:asciiTheme="minorHAnsi" w:hAnsiTheme="minorHAnsi" w:cstheme="minorHAnsi"/>
          <w:b/>
          <w:i/>
          <w:iCs/>
          <w:color w:val="C00000"/>
          <w:sz w:val="32"/>
          <w:szCs w:val="21"/>
        </w:rPr>
        <w:t>”</w:t>
      </w:r>
    </w:p>
    <w:p w14:paraId="121BB448" w14:textId="2782BC9E"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0" w:history="1">
        <w:r w:rsidR="001C3B85">
          <w:rPr>
            <w:rStyle w:val="Hyperlink"/>
            <w:rFonts w:asciiTheme="minorHAnsi" w:hAnsiTheme="minorHAnsi" w:cstheme="minorHAnsi"/>
            <w:i/>
            <w:sz w:val="36"/>
            <w:szCs w:val="36"/>
          </w:rPr>
          <w:t>Cyber@itea.org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1E9FB5CB"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2F65B8">
        <w:rPr>
          <w:rFonts w:asciiTheme="minorHAnsi" w:hAnsiTheme="minorHAnsi" w:cstheme="minorHAnsi"/>
          <w:sz w:val="22"/>
          <w:szCs w:val="22"/>
        </w:rPr>
      </w:r>
      <w:r w:rsidR="002F65B8">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9D5B62" w:rsidRPr="00F867F3">
        <w:rPr>
          <w:rFonts w:asciiTheme="minorHAnsi" w:hAnsiTheme="minorHAnsi" w:cstheme="minorHAnsi"/>
          <w:b/>
          <w:i/>
          <w:sz w:val="22"/>
          <w:szCs w:val="18"/>
        </w:rPr>
        <w:t>Workshop</w:t>
      </w:r>
      <w:r w:rsidRPr="00F867F3">
        <w:rPr>
          <w:rFonts w:asciiTheme="minorHAnsi" w:hAnsiTheme="minorHAnsi" w:cstheme="minorHAnsi"/>
          <w:b/>
          <w:i/>
          <w:sz w:val="22"/>
          <w:szCs w:val="18"/>
        </w:rPr>
        <w:t>’s online proceedings.</w:t>
      </w:r>
    </w:p>
    <w:p w14:paraId="0C0A64EF" w14:textId="77777777" w:rsidR="00A95FA2" w:rsidRPr="00CC48E2" w:rsidRDefault="00A95FA2" w:rsidP="00A95FA2">
      <w:pPr>
        <w:autoSpaceDE w:val="0"/>
        <w:autoSpaceDN w:val="0"/>
        <w:adjustRightInd w:val="0"/>
        <w:ind w:left="1170" w:hanging="450"/>
        <w:rPr>
          <w:rFonts w:asciiTheme="minorHAnsi" w:hAnsiTheme="minorHAnsi" w:cstheme="minorHAnsi"/>
          <w:b/>
          <w:i/>
          <w:sz w:val="16"/>
          <w:szCs w:val="11"/>
        </w:rPr>
      </w:pPr>
    </w:p>
    <w:p w14:paraId="05CED5AE" w14:textId="053F7389"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F867F3" w:rsidRPr="00F867F3">
        <w:rPr>
          <w:rFonts w:asciiTheme="minorHAnsi" w:hAnsiTheme="minorHAnsi" w:cstheme="minorHAnsi"/>
          <w:b/>
          <w:color w:val="C00000"/>
          <w:sz w:val="28"/>
        </w:rPr>
        <w:t xml:space="preserve">1 </w:t>
      </w:r>
      <w:r w:rsidR="001C3B85">
        <w:rPr>
          <w:rFonts w:asciiTheme="minorHAnsi" w:hAnsiTheme="minorHAnsi" w:cstheme="minorHAnsi"/>
          <w:b/>
          <w:color w:val="C00000"/>
          <w:sz w:val="28"/>
        </w:rPr>
        <w:t>May</w:t>
      </w:r>
      <w:r w:rsidR="00F867F3" w:rsidRPr="00F867F3">
        <w:rPr>
          <w:rFonts w:asciiTheme="minorHAnsi" w:hAnsiTheme="minorHAnsi" w:cstheme="minorHAnsi"/>
          <w:b/>
          <w:color w:val="C00000"/>
          <w:sz w:val="28"/>
        </w:rPr>
        <w:t xml:space="preserve"> 202</w:t>
      </w:r>
      <w:r w:rsidR="003F008D">
        <w:rPr>
          <w:rFonts w:asciiTheme="minorHAnsi" w:hAnsiTheme="minorHAnsi" w:cstheme="minorHAnsi"/>
          <w:b/>
          <w:color w:val="C00000"/>
          <w:sz w:val="28"/>
        </w:rPr>
        <w:t>2</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RPr="00F867F3" w14:paraId="4667C92B" w14:textId="77777777" w:rsidTr="004D23B9">
        <w:tc>
          <w:tcPr>
            <w:tcW w:w="2898"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020"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4D23B9">
        <w:tc>
          <w:tcPr>
            <w:tcW w:w="2898"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1BF7D970"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r w:rsidR="00720D1D">
              <w:rPr>
                <w:rFonts w:asciiTheme="minorHAnsi" w:hAnsiTheme="minorHAnsi" w:cstheme="minorHAnsi"/>
                <w:i/>
                <w:sz w:val="24"/>
                <w:szCs w:val="24"/>
              </w:rPr>
              <w:t xml:space="preserve">. </w:t>
            </w:r>
            <w:r w:rsidR="00720D1D" w:rsidRPr="00720D1D">
              <w:rPr>
                <w:rFonts w:asciiTheme="minorHAnsi" w:hAnsiTheme="minorHAnsi" w:cstheme="minorHAnsi"/>
                <w:b/>
                <w:bCs/>
                <w:i/>
                <w:sz w:val="24"/>
                <w:szCs w:val="24"/>
              </w:rPr>
              <w:t>See website for complete list of topics</w:t>
            </w:r>
            <w:r w:rsidRPr="00720D1D">
              <w:rPr>
                <w:rFonts w:asciiTheme="minorHAnsi" w:hAnsiTheme="minorHAnsi" w:cstheme="minorHAnsi"/>
                <w:b/>
                <w:bCs/>
                <w:i/>
                <w:sz w:val="24"/>
                <w:szCs w:val="24"/>
              </w:rPr>
              <w:t>)</w:t>
            </w:r>
          </w:p>
        </w:tc>
        <w:tc>
          <w:tcPr>
            <w:tcW w:w="7020" w:type="dxa"/>
          </w:tcPr>
          <w:p w14:paraId="19BDAA5E" w14:textId="7E4DCF51"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DT/OT Cybersecurity</w:t>
            </w:r>
          </w:p>
          <w:p w14:paraId="1C3D99F0" w14:textId="6E66CC7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Red Hat/White Hat Intrusion Testing</w:t>
            </w:r>
          </w:p>
          <w:p w14:paraId="0247521A" w14:textId="4D544520"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szCs w:val="24"/>
              </w:rPr>
              <w:t>Automation of Cyber Controls</w:t>
            </w:r>
          </w:p>
          <w:p w14:paraId="05254E9F" w14:textId="639DDBDA"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2F65B8">
              <w:rPr>
                <w:rFonts w:asciiTheme="minorHAnsi" w:hAnsiTheme="minorHAnsi" w:cstheme="minorHAnsi"/>
                <w:sz w:val="24"/>
                <w:szCs w:val="24"/>
              </w:rPr>
            </w:r>
            <w:r w:rsidR="002F65B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1C3B85" w:rsidRPr="001C3B85">
              <w:rPr>
                <w:rFonts w:asciiTheme="minorHAnsi" w:hAnsiTheme="minorHAnsi" w:cstheme="minorHAnsi"/>
                <w:sz w:val="24"/>
                <w:szCs w:val="24"/>
              </w:rPr>
              <w:t>Zero Trust</w:t>
            </w:r>
          </w:p>
          <w:p w14:paraId="3C3F7974" w14:textId="061DB4A2"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2F65B8">
              <w:rPr>
                <w:rFonts w:asciiTheme="minorHAnsi" w:hAnsiTheme="minorHAnsi" w:cstheme="minorHAnsi"/>
                <w:sz w:val="24"/>
                <w:szCs w:val="24"/>
              </w:rPr>
            </w:r>
            <w:r w:rsidR="002F65B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1C3B85" w:rsidRPr="001C3B85">
              <w:rPr>
                <w:rFonts w:asciiTheme="minorHAnsi" w:hAnsiTheme="minorHAnsi" w:cstheme="minorHAnsi"/>
                <w:sz w:val="24"/>
                <w:szCs w:val="24"/>
              </w:rPr>
              <w:t>Digital Twins in T&amp;E</w:t>
            </w:r>
          </w:p>
          <w:p w14:paraId="0345CC76" w14:textId="026D2D55"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2F65B8">
              <w:rPr>
                <w:rFonts w:asciiTheme="minorHAnsi" w:hAnsiTheme="minorHAnsi" w:cstheme="minorHAnsi"/>
                <w:sz w:val="24"/>
                <w:szCs w:val="24"/>
              </w:rPr>
            </w:r>
            <w:r w:rsidR="002F65B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1C3B85" w:rsidRPr="001C3B85">
              <w:rPr>
                <w:rFonts w:asciiTheme="minorHAnsi" w:hAnsiTheme="minorHAnsi" w:cstheme="minorHAnsi"/>
                <w:sz w:val="24"/>
                <w:szCs w:val="24"/>
              </w:rPr>
              <w:t>Digital Engineering</w:t>
            </w:r>
          </w:p>
          <w:p w14:paraId="27C172CC" w14:textId="621DB17E"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proofErr w:type="spellStart"/>
            <w:r w:rsidR="001C3B85" w:rsidRPr="001C3B85">
              <w:rPr>
                <w:rFonts w:asciiTheme="minorHAnsi" w:hAnsiTheme="minorHAnsi" w:cstheme="minorHAnsi"/>
                <w:sz w:val="24"/>
              </w:rPr>
              <w:t>DevSecOps</w:t>
            </w:r>
            <w:proofErr w:type="spellEnd"/>
          </w:p>
          <w:p w14:paraId="435DBF93" w14:textId="4FA610C6"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Tactical Edge Network Cyber T&amp;E</w:t>
            </w:r>
          </w:p>
          <w:p w14:paraId="7E8B4E94" w14:textId="1261AD3B" w:rsidR="009D5B62"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Cyber Testing in LVC</w:t>
            </w:r>
          </w:p>
          <w:p w14:paraId="3F64355F" w14:textId="704FCBD0" w:rsidR="00CC48E2" w:rsidRDefault="00CC48E2"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Internet of Things (IoT) Cybersecurity and Testing</w:t>
            </w:r>
          </w:p>
          <w:p w14:paraId="3112E81A" w14:textId="0C16C624" w:rsidR="00CE6B83" w:rsidRDefault="00222A24"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ISC / SCADA</w:t>
            </w:r>
          </w:p>
          <w:p w14:paraId="28A7A382" w14:textId="7E271D9A" w:rsidR="001C3B85" w:rsidRPr="00F867F3"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2F65B8">
              <w:rPr>
                <w:rFonts w:asciiTheme="minorHAnsi" w:hAnsiTheme="minorHAnsi" w:cstheme="minorHAnsi"/>
                <w:sz w:val="24"/>
                <w:szCs w:val="24"/>
              </w:rPr>
            </w:r>
            <w:r w:rsidR="002F65B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Pr="001C3B85">
              <w:rPr>
                <w:rFonts w:asciiTheme="minorHAnsi" w:hAnsiTheme="minorHAnsi" w:cstheme="minorHAnsi"/>
                <w:sz w:val="24"/>
                <w:szCs w:val="24"/>
              </w:rPr>
              <w:t>Microelectronics</w:t>
            </w:r>
          </w:p>
          <w:p w14:paraId="42388732" w14:textId="4E6A9CB1" w:rsidR="001C3B85" w:rsidRPr="00F867F3"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proofErr w:type="spellStart"/>
            <w:r w:rsidRPr="001C3B85">
              <w:rPr>
                <w:rFonts w:asciiTheme="minorHAnsi" w:hAnsiTheme="minorHAnsi" w:cstheme="minorHAnsi"/>
                <w:sz w:val="24"/>
              </w:rPr>
              <w:t>Hypersonics</w:t>
            </w:r>
            <w:proofErr w:type="spellEnd"/>
          </w:p>
          <w:p w14:paraId="0DA76242" w14:textId="3EF7AE4B" w:rsidR="001C3B85" w:rsidRPr="00F867F3"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1C3B85">
              <w:rPr>
                <w:rFonts w:asciiTheme="minorHAnsi" w:hAnsiTheme="minorHAnsi" w:cstheme="minorHAnsi"/>
                <w:sz w:val="24"/>
              </w:rPr>
              <w:t>Avionics</w:t>
            </w:r>
          </w:p>
          <w:p w14:paraId="69713054" w14:textId="137F9247" w:rsidR="001C3B85"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720D1D" w:rsidRPr="00720D1D">
              <w:rPr>
                <w:rFonts w:asciiTheme="minorHAnsi" w:hAnsiTheme="minorHAnsi" w:cstheme="minorHAnsi"/>
                <w:sz w:val="24"/>
              </w:rPr>
              <w:t>Electronic Warfare and EW Convergence</w:t>
            </w:r>
          </w:p>
          <w:p w14:paraId="3657E2C1" w14:textId="3F28C916" w:rsidR="001C3B85"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720D1D" w:rsidRPr="00720D1D">
              <w:rPr>
                <w:rFonts w:asciiTheme="minorHAnsi" w:hAnsiTheme="minorHAnsi" w:cstheme="minorHAnsi"/>
                <w:sz w:val="24"/>
              </w:rPr>
              <w:t>Computer Network Operations</w:t>
            </w:r>
          </w:p>
          <w:p w14:paraId="64A2D097" w14:textId="45CA2085" w:rsidR="001C3B85"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720D1D" w:rsidRPr="00720D1D">
              <w:rPr>
                <w:rFonts w:asciiTheme="minorHAnsi" w:hAnsiTheme="minorHAnsi" w:cstheme="minorHAnsi"/>
                <w:sz w:val="24"/>
              </w:rPr>
              <w:t>Denial of Service</w:t>
            </w:r>
          </w:p>
          <w:p w14:paraId="3815C2AE" w14:textId="7CFB20F1" w:rsidR="00720D1D" w:rsidRDefault="00720D1D" w:rsidP="00720D1D">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720D1D">
              <w:rPr>
                <w:rFonts w:asciiTheme="minorHAnsi" w:hAnsiTheme="minorHAnsi" w:cstheme="minorHAnsi"/>
                <w:sz w:val="24"/>
              </w:rPr>
              <w:t>GIS Analytics</w:t>
            </w:r>
          </w:p>
          <w:p w14:paraId="35DA5B36" w14:textId="331839E7" w:rsidR="00720D1D" w:rsidRPr="00F867F3" w:rsidRDefault="00720D1D" w:rsidP="00720D1D">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2F65B8">
              <w:rPr>
                <w:rFonts w:asciiTheme="minorHAnsi" w:hAnsiTheme="minorHAnsi" w:cstheme="minorHAnsi"/>
                <w:sz w:val="24"/>
                <w:szCs w:val="24"/>
              </w:rPr>
            </w:r>
            <w:r w:rsidR="002F65B8">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Pr="00720D1D">
              <w:rPr>
                <w:rFonts w:asciiTheme="minorHAnsi" w:hAnsiTheme="minorHAnsi" w:cstheme="minorHAnsi"/>
                <w:sz w:val="24"/>
                <w:szCs w:val="24"/>
              </w:rPr>
              <w:t>Cyber and Spectrum Warfare considerations in 5G/6G</w:t>
            </w:r>
          </w:p>
          <w:p w14:paraId="14EA03D5" w14:textId="30775D58" w:rsidR="00720D1D" w:rsidRPr="00F867F3" w:rsidRDefault="00720D1D" w:rsidP="00720D1D">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720D1D">
              <w:rPr>
                <w:rFonts w:asciiTheme="minorHAnsi" w:hAnsiTheme="minorHAnsi" w:cstheme="minorHAnsi"/>
                <w:sz w:val="24"/>
              </w:rPr>
              <w:t>Artificial Intelligence and Machine Learning</w:t>
            </w:r>
          </w:p>
          <w:p w14:paraId="60BC08BA" w14:textId="20AD85E3" w:rsidR="001C3B85" w:rsidRPr="00CC48E2" w:rsidRDefault="00720D1D"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720D1D">
              <w:rPr>
                <w:rFonts w:asciiTheme="minorHAnsi" w:hAnsiTheme="minorHAnsi" w:cstheme="minorHAnsi"/>
                <w:sz w:val="24"/>
              </w:rPr>
              <w:t>Big Data, Data Analytics and Visualization</w:t>
            </w:r>
          </w:p>
          <w:p w14:paraId="19D12FCD" w14:textId="1A3652C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2F65B8">
              <w:rPr>
                <w:rFonts w:asciiTheme="minorHAnsi" w:hAnsiTheme="minorHAnsi" w:cstheme="minorHAnsi"/>
                <w:sz w:val="24"/>
              </w:rPr>
            </w:r>
            <w:r w:rsidR="002F65B8">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2E249EA9" w14:textId="77777777" w:rsidR="00CB179A" w:rsidRPr="00F867F3" w:rsidRDefault="00CB179A">
      <w:pPr>
        <w:rPr>
          <w:rFonts w:asciiTheme="minorHAnsi" w:hAnsiTheme="minorHAnsi" w:cstheme="minorHAnsi"/>
        </w:rPr>
      </w:pPr>
    </w:p>
    <w:p w14:paraId="29B641F0" w14:textId="77777777" w:rsidR="00F867F3" w:rsidRPr="00CC48E2" w:rsidRDefault="00F867F3">
      <w:pPr>
        <w:rPr>
          <w:rFonts w:asciiTheme="minorHAnsi" w:hAnsiTheme="minorHAnsi" w:cstheme="minorHAnsi"/>
          <w:sz w:val="2"/>
          <w:szCs w:val="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0309CACF"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r w:rsidR="003F008D">
              <w:rPr>
                <w:rFonts w:asciiTheme="minorHAnsi" w:hAnsiTheme="minorHAnsi" w:cstheme="minorHAnsi"/>
                <w:b/>
                <w:sz w:val="24"/>
                <w:szCs w:val="24"/>
              </w:rPr>
              <w:t xml:space="preserve"> &amp; Title</w:t>
            </w:r>
            <w:r w:rsidRPr="00F867F3">
              <w:rPr>
                <w:rFonts w:asciiTheme="minorHAnsi" w:hAnsiTheme="minorHAnsi" w:cstheme="minorHAnsi"/>
                <w:b/>
                <w:sz w:val="24"/>
                <w:szCs w:val="24"/>
              </w:rPr>
              <w:t>:</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1"/>
      <w:footerReference w:type="default" r:id="rId12"/>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32E0A" w14:textId="77777777" w:rsidR="002F65B8" w:rsidRDefault="002F65B8" w:rsidP="00194BDA">
      <w:r>
        <w:separator/>
      </w:r>
    </w:p>
  </w:endnote>
  <w:endnote w:type="continuationSeparator" w:id="0">
    <w:p w14:paraId="7B24F7B2" w14:textId="77777777" w:rsidR="002F65B8" w:rsidRDefault="002F65B8"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31E8F" w14:textId="77777777" w:rsidR="002F65B8" w:rsidRDefault="002F65B8" w:rsidP="00194BDA">
      <w:r>
        <w:separator/>
      </w:r>
    </w:p>
  </w:footnote>
  <w:footnote w:type="continuationSeparator" w:id="0">
    <w:p w14:paraId="3E729A79" w14:textId="77777777" w:rsidR="002F65B8" w:rsidRDefault="002F65B8"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9A80" w14:textId="56B885E0" w:rsidR="00942D3F" w:rsidRPr="00CE6B83" w:rsidRDefault="00CB179A" w:rsidP="006650B9">
    <w:pPr>
      <w:widowControl w:val="0"/>
      <w:ind w:left="1440"/>
      <w:jc w:val="center"/>
      <w:rPr>
        <w:rFonts w:ascii="Calibri" w:hAnsi="Calibri"/>
        <w:b/>
        <w:color w:val="1F497D"/>
        <w:sz w:val="26"/>
        <w:szCs w:val="26"/>
      </w:rPr>
    </w:pPr>
    <w:r w:rsidRPr="00CE6B83">
      <w:rPr>
        <w:noProof/>
        <w:sz w:val="26"/>
        <w:szCs w:val="26"/>
      </w:rPr>
      <w:drawing>
        <wp:anchor distT="0" distB="0" distL="114300" distR="114300" simplePos="0" relativeHeight="251657728" behindDoc="1" locked="0" layoutInCell="1" allowOverlap="1" wp14:anchorId="554C8891" wp14:editId="70C0F721">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sidRPr="00CE6B83">
      <w:rPr>
        <w:rFonts w:ascii="Calibri" w:hAnsi="Calibri"/>
        <w:b/>
        <w:color w:val="1F497D"/>
        <w:sz w:val="26"/>
        <w:szCs w:val="26"/>
      </w:rPr>
      <w:t>TECHNICAL PAPER AND/OR TUTORIAL</w:t>
    </w:r>
    <w:r w:rsidR="00942D3F" w:rsidRPr="00CE6B83">
      <w:rPr>
        <w:rFonts w:ascii="Calibri" w:hAnsi="Calibri"/>
        <w:b/>
        <w:color w:val="1F497D"/>
        <w:sz w:val="26"/>
        <w:szCs w:val="26"/>
      </w:rPr>
      <w:t xml:space="preserve"> ABSTRACT SUBMISSION FORM</w:t>
    </w:r>
  </w:p>
  <w:p w14:paraId="42A8F638" w14:textId="62259456" w:rsidR="00640CF3" w:rsidRPr="00E46873" w:rsidRDefault="00640CF3" w:rsidP="006650B9">
    <w:pPr>
      <w:widowControl w:val="0"/>
      <w:ind w:left="1440"/>
      <w:jc w:val="center"/>
      <w:rPr>
        <w:rFonts w:ascii="Calibri" w:hAnsi="Calibri"/>
        <w:b/>
        <w:color w:val="1F497D"/>
        <w:sz w:val="8"/>
        <w:szCs w:val="8"/>
      </w:rPr>
    </w:pPr>
  </w:p>
  <w:p w14:paraId="19BEE44C" w14:textId="7729A3AD" w:rsidR="00CC48E2" w:rsidRPr="00CC48E2" w:rsidRDefault="001C3B85" w:rsidP="00CE6B83">
    <w:pPr>
      <w:widowControl w:val="0"/>
      <w:tabs>
        <w:tab w:val="left" w:pos="270"/>
        <w:tab w:val="center" w:pos="4680"/>
      </w:tabs>
      <w:ind w:left="1440"/>
      <w:jc w:val="center"/>
      <w:rPr>
        <w:rFonts w:ascii="Calibri" w:hAnsi="Calibri"/>
        <w:b/>
        <w:color w:val="1F497D"/>
        <w:sz w:val="32"/>
        <w:szCs w:val="32"/>
      </w:rPr>
    </w:pPr>
    <w:r>
      <w:rPr>
        <w:rFonts w:ascii="Calibri" w:hAnsi="Calibri"/>
        <w:b/>
        <w:color w:val="1F497D"/>
        <w:sz w:val="32"/>
        <w:szCs w:val="32"/>
      </w:rPr>
      <w:t>8</w:t>
    </w:r>
    <w:r>
      <w:rPr>
        <w:rFonts w:ascii="Calibri" w:hAnsi="Calibri"/>
        <w:b/>
        <w:color w:val="1F497D"/>
        <w:sz w:val="32"/>
        <w:szCs w:val="32"/>
        <w:vertAlign w:val="superscript"/>
      </w:rPr>
      <w:t>th</w:t>
    </w:r>
    <w:r w:rsidR="00CC48E2" w:rsidRPr="00CC48E2">
      <w:rPr>
        <w:rFonts w:ascii="Calibri" w:hAnsi="Calibri"/>
        <w:b/>
        <w:color w:val="1F497D"/>
        <w:sz w:val="32"/>
        <w:szCs w:val="32"/>
      </w:rPr>
      <w:t xml:space="preserve"> Annual </w:t>
    </w:r>
    <w:r>
      <w:rPr>
        <w:rFonts w:ascii="Calibri" w:hAnsi="Calibri"/>
        <w:b/>
        <w:color w:val="1F497D"/>
        <w:sz w:val="32"/>
        <w:szCs w:val="32"/>
      </w:rPr>
      <w:t>Cybersecurity</w:t>
    </w:r>
    <w:r w:rsidR="00CC48E2" w:rsidRPr="00CC48E2">
      <w:rPr>
        <w:rFonts w:ascii="Calibri" w:hAnsi="Calibri"/>
        <w:b/>
        <w:color w:val="1F497D"/>
        <w:sz w:val="32"/>
        <w:szCs w:val="32"/>
      </w:rPr>
      <w:t xml:space="preserve"> Workshop</w:t>
    </w:r>
  </w:p>
  <w:p w14:paraId="692BA17C" w14:textId="77777777" w:rsidR="00A33146" w:rsidRPr="00A33146" w:rsidRDefault="00A33146" w:rsidP="00CE6B83">
    <w:pPr>
      <w:widowControl w:val="0"/>
      <w:tabs>
        <w:tab w:val="left" w:pos="270"/>
        <w:tab w:val="center" w:pos="4680"/>
      </w:tabs>
      <w:ind w:left="1440"/>
      <w:jc w:val="center"/>
      <w:rPr>
        <w:rFonts w:ascii="Calibri" w:hAnsi="Calibri"/>
        <w:b/>
        <w:i/>
        <w:iCs/>
        <w:color w:val="1F497D"/>
        <w:sz w:val="28"/>
        <w:szCs w:val="28"/>
      </w:rPr>
    </w:pPr>
    <w:r w:rsidRPr="00A33146">
      <w:rPr>
        <w:rFonts w:ascii="Calibri" w:hAnsi="Calibri"/>
        <w:b/>
        <w:i/>
        <w:iCs/>
        <w:color w:val="1F497D"/>
        <w:sz w:val="28"/>
        <w:szCs w:val="28"/>
      </w:rPr>
      <w:t>New Domains in Cybersecurity</w:t>
    </w:r>
  </w:p>
  <w:p w14:paraId="40D10FF2" w14:textId="729C1702" w:rsidR="006650B9" w:rsidRPr="006650B9" w:rsidRDefault="00F867F3" w:rsidP="00CE6B83">
    <w:pPr>
      <w:widowControl w:val="0"/>
      <w:tabs>
        <w:tab w:val="left" w:pos="270"/>
        <w:tab w:val="center" w:pos="4680"/>
      </w:tabs>
      <w:ind w:left="1440"/>
      <w:jc w:val="center"/>
      <w:rPr>
        <w:rFonts w:ascii="Calibri" w:hAnsi="Calibri"/>
        <w:b/>
        <w:color w:val="1F497D"/>
      </w:rPr>
    </w:pPr>
    <w:r>
      <w:rPr>
        <w:rFonts w:ascii="Calibri" w:hAnsi="Calibri"/>
        <w:b/>
        <w:color w:val="1F497D"/>
      </w:rPr>
      <w:t>1</w:t>
    </w:r>
    <w:r w:rsidR="001C3B85">
      <w:rPr>
        <w:rFonts w:ascii="Calibri" w:hAnsi="Calibri"/>
        <w:b/>
        <w:color w:val="1F497D"/>
      </w:rPr>
      <w:t>8</w:t>
    </w:r>
    <w:r>
      <w:rPr>
        <w:rFonts w:ascii="Calibri" w:hAnsi="Calibri"/>
        <w:b/>
        <w:color w:val="1F497D"/>
      </w:rPr>
      <w:t xml:space="preserve"> </w:t>
    </w:r>
    <w:r w:rsidR="001C3B85">
      <w:rPr>
        <w:rFonts w:ascii="Calibri" w:hAnsi="Calibri"/>
        <w:b/>
        <w:color w:val="1F497D"/>
      </w:rPr>
      <w:t>October</w:t>
    </w:r>
    <w:r w:rsidR="007A2015">
      <w:rPr>
        <w:rFonts w:ascii="Calibri" w:hAnsi="Calibri"/>
        <w:b/>
        <w:color w:val="1F497D"/>
      </w:rPr>
      <w:t xml:space="preserve"> – </w:t>
    </w:r>
    <w:r w:rsidR="00AA3578">
      <w:rPr>
        <w:rFonts w:ascii="Calibri" w:hAnsi="Calibri"/>
        <w:b/>
        <w:color w:val="1F497D"/>
      </w:rPr>
      <w:t>2</w:t>
    </w:r>
    <w:r w:rsidR="001C3B85">
      <w:rPr>
        <w:rFonts w:ascii="Calibri" w:hAnsi="Calibri"/>
        <w:b/>
        <w:color w:val="1F497D"/>
      </w:rPr>
      <w:t>0</w:t>
    </w:r>
    <w:r>
      <w:rPr>
        <w:rFonts w:ascii="Calibri" w:hAnsi="Calibri"/>
        <w:b/>
        <w:color w:val="1F497D"/>
      </w:rPr>
      <w:t xml:space="preserve"> </w:t>
    </w:r>
    <w:r w:rsidR="001C3B85">
      <w:rPr>
        <w:rFonts w:ascii="Calibri" w:hAnsi="Calibri"/>
        <w:b/>
        <w:color w:val="1F497D"/>
      </w:rPr>
      <w:t>October</w:t>
    </w:r>
    <w:r w:rsidR="007A2015">
      <w:rPr>
        <w:rFonts w:ascii="Calibri" w:hAnsi="Calibri"/>
        <w:b/>
        <w:color w:val="1F497D"/>
      </w:rPr>
      <w:t xml:space="preserve"> 202</w:t>
    </w:r>
    <w:r w:rsidR="00AA3578">
      <w:rPr>
        <w:rFonts w:ascii="Calibri" w:hAnsi="Calibri"/>
        <w:b/>
        <w:color w:val="1F497D"/>
      </w:rPr>
      <w:t>2</w:t>
    </w:r>
    <w:r w:rsidR="006650B9" w:rsidRPr="006650B9">
      <w:rPr>
        <w:rFonts w:ascii="Calibri" w:hAnsi="Calibri"/>
        <w:b/>
        <w:color w:val="1F497D"/>
      </w:rPr>
      <w:t xml:space="preserve"> </w:t>
    </w:r>
    <w:r w:rsidR="00CE6B83">
      <w:rPr>
        <w:rFonts w:ascii="Calibri" w:hAnsi="Calibri"/>
        <w:b/>
        <w:color w:val="1F497D"/>
      </w:rPr>
      <w:t>~</w:t>
    </w:r>
    <w:r w:rsidR="006650B9" w:rsidRPr="006650B9">
      <w:rPr>
        <w:rFonts w:ascii="Calibri" w:hAnsi="Calibri"/>
        <w:b/>
        <w:color w:val="1F497D"/>
      </w:rPr>
      <w:t xml:space="preserve"> </w:t>
    </w:r>
    <w:r w:rsidR="001C3B85">
      <w:rPr>
        <w:rFonts w:ascii="Calibri" w:hAnsi="Calibri"/>
        <w:b/>
        <w:color w:val="1F497D"/>
      </w:rPr>
      <w:t>Embassy Suites by Hilton Destin Miramar Beach</w:t>
    </w:r>
  </w:p>
  <w:p w14:paraId="47C63BD8" w14:textId="3261154D" w:rsidR="006650B9" w:rsidRPr="00640CF3" w:rsidRDefault="006650B9" w:rsidP="00CE6B83">
    <w:pPr>
      <w:widowControl w:val="0"/>
      <w:tabs>
        <w:tab w:val="left" w:pos="270"/>
        <w:tab w:val="center" w:pos="4680"/>
      </w:tabs>
      <w:ind w:left="1440"/>
      <w:jc w:val="center"/>
      <w:rPr>
        <w:rFonts w:ascii="Calibri" w:hAnsi="Calibri"/>
        <w:b/>
        <w:color w:val="1F497D"/>
      </w:rPr>
    </w:pPr>
    <w:r w:rsidRPr="006650B9">
      <w:rPr>
        <w:rFonts w:ascii="Calibri" w:hAnsi="Calibri"/>
        <w:b/>
        <w:color w:val="1F497D"/>
      </w:rPr>
      <w:t xml:space="preserve">Hosted by the </w:t>
    </w:r>
    <w:r w:rsidR="00CE6B83">
      <w:rPr>
        <w:rFonts w:ascii="Calibri" w:hAnsi="Calibri"/>
        <w:b/>
        <w:color w:val="1F497D"/>
      </w:rPr>
      <w:t xml:space="preserve">ITEA </w:t>
    </w:r>
    <w:r w:rsidR="001C3B85">
      <w:rPr>
        <w:rFonts w:ascii="Calibri" w:hAnsi="Calibri"/>
        <w:b/>
        <w:color w:val="1F497D"/>
      </w:rPr>
      <w:t>Emerald Coast</w:t>
    </w:r>
    <w:r w:rsidR="00CE6B83">
      <w:rPr>
        <w:rFonts w:ascii="Calibri" w:hAnsi="Calibri"/>
        <w:b/>
        <w:color w:val="1F497D"/>
      </w:rPr>
      <w:t xml:space="preserve"> </w:t>
    </w:r>
    <w:r w:rsidRPr="006650B9">
      <w:rPr>
        <w:rFonts w:ascii="Calibri" w:hAnsi="Calibri"/>
        <w:b/>
        <w:color w:val="1F497D"/>
      </w:rPr>
      <w:t>Chapter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526C1"/>
    <w:rsid w:val="00154C44"/>
    <w:rsid w:val="00156166"/>
    <w:rsid w:val="00167EE8"/>
    <w:rsid w:val="0017538A"/>
    <w:rsid w:val="0018068E"/>
    <w:rsid w:val="00194BDA"/>
    <w:rsid w:val="001A2593"/>
    <w:rsid w:val="001B4C40"/>
    <w:rsid w:val="001B7DA5"/>
    <w:rsid w:val="001C3B85"/>
    <w:rsid w:val="001D488A"/>
    <w:rsid w:val="001F6EAA"/>
    <w:rsid w:val="001F7CDD"/>
    <w:rsid w:val="00222A24"/>
    <w:rsid w:val="00233692"/>
    <w:rsid w:val="00237684"/>
    <w:rsid w:val="002554CE"/>
    <w:rsid w:val="00255B7E"/>
    <w:rsid w:val="002B658A"/>
    <w:rsid w:val="002B77ED"/>
    <w:rsid w:val="002E3C89"/>
    <w:rsid w:val="002F65B8"/>
    <w:rsid w:val="00304549"/>
    <w:rsid w:val="003135CF"/>
    <w:rsid w:val="00320FF0"/>
    <w:rsid w:val="00346850"/>
    <w:rsid w:val="0035564A"/>
    <w:rsid w:val="00357FF8"/>
    <w:rsid w:val="00373398"/>
    <w:rsid w:val="0037343F"/>
    <w:rsid w:val="00375507"/>
    <w:rsid w:val="003A1950"/>
    <w:rsid w:val="003B3E28"/>
    <w:rsid w:val="003D0A88"/>
    <w:rsid w:val="003F008D"/>
    <w:rsid w:val="003F39F3"/>
    <w:rsid w:val="003F7D1D"/>
    <w:rsid w:val="00403575"/>
    <w:rsid w:val="00411CD5"/>
    <w:rsid w:val="00440751"/>
    <w:rsid w:val="00440E0C"/>
    <w:rsid w:val="004575E4"/>
    <w:rsid w:val="00462084"/>
    <w:rsid w:val="00467B9B"/>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7F5B"/>
    <w:rsid w:val="005A563A"/>
    <w:rsid w:val="005C4B52"/>
    <w:rsid w:val="005C7D10"/>
    <w:rsid w:val="005D17A7"/>
    <w:rsid w:val="006375B7"/>
    <w:rsid w:val="00640CF3"/>
    <w:rsid w:val="00653B1A"/>
    <w:rsid w:val="006650B9"/>
    <w:rsid w:val="00673B20"/>
    <w:rsid w:val="00695921"/>
    <w:rsid w:val="006C0352"/>
    <w:rsid w:val="006E498D"/>
    <w:rsid w:val="006E6284"/>
    <w:rsid w:val="00713D28"/>
    <w:rsid w:val="00720D1D"/>
    <w:rsid w:val="00722C19"/>
    <w:rsid w:val="0073090F"/>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1D0C"/>
    <w:rsid w:val="008C26CD"/>
    <w:rsid w:val="008D720F"/>
    <w:rsid w:val="009220EC"/>
    <w:rsid w:val="00942D3F"/>
    <w:rsid w:val="00946637"/>
    <w:rsid w:val="0099067F"/>
    <w:rsid w:val="0099526A"/>
    <w:rsid w:val="00997871"/>
    <w:rsid w:val="009B5B52"/>
    <w:rsid w:val="009D1A00"/>
    <w:rsid w:val="009D5B62"/>
    <w:rsid w:val="00A33146"/>
    <w:rsid w:val="00A7727E"/>
    <w:rsid w:val="00A8565D"/>
    <w:rsid w:val="00A95FA2"/>
    <w:rsid w:val="00AA0738"/>
    <w:rsid w:val="00AA3578"/>
    <w:rsid w:val="00AB027F"/>
    <w:rsid w:val="00AD3037"/>
    <w:rsid w:val="00AE5CF4"/>
    <w:rsid w:val="00AF7BC4"/>
    <w:rsid w:val="00B14A3A"/>
    <w:rsid w:val="00B15D5E"/>
    <w:rsid w:val="00B15D6D"/>
    <w:rsid w:val="00B26351"/>
    <w:rsid w:val="00B97FA3"/>
    <w:rsid w:val="00BA4F63"/>
    <w:rsid w:val="00BB4D3F"/>
    <w:rsid w:val="00BB71E1"/>
    <w:rsid w:val="00BC36EE"/>
    <w:rsid w:val="00BD4895"/>
    <w:rsid w:val="00BD4C0A"/>
    <w:rsid w:val="00BD7084"/>
    <w:rsid w:val="00BD7FDD"/>
    <w:rsid w:val="00BE0EAD"/>
    <w:rsid w:val="00BE470B"/>
    <w:rsid w:val="00BF696D"/>
    <w:rsid w:val="00C21D34"/>
    <w:rsid w:val="00C227D9"/>
    <w:rsid w:val="00C25DFD"/>
    <w:rsid w:val="00C335D6"/>
    <w:rsid w:val="00C5293F"/>
    <w:rsid w:val="00C624BE"/>
    <w:rsid w:val="00C6677E"/>
    <w:rsid w:val="00C84D5B"/>
    <w:rsid w:val="00C911E3"/>
    <w:rsid w:val="00CB179A"/>
    <w:rsid w:val="00CC48E2"/>
    <w:rsid w:val="00CE6B83"/>
    <w:rsid w:val="00D07291"/>
    <w:rsid w:val="00D12E1D"/>
    <w:rsid w:val="00D43ADC"/>
    <w:rsid w:val="00D7260C"/>
    <w:rsid w:val="00D949AD"/>
    <w:rsid w:val="00D9591A"/>
    <w:rsid w:val="00DA2CC4"/>
    <w:rsid w:val="00DA5BEB"/>
    <w:rsid w:val="00DC0ADB"/>
    <w:rsid w:val="00DC39AF"/>
    <w:rsid w:val="00DD1414"/>
    <w:rsid w:val="00DD60A0"/>
    <w:rsid w:val="00DE3927"/>
    <w:rsid w:val="00DE5361"/>
    <w:rsid w:val="00DF3197"/>
    <w:rsid w:val="00DF76E5"/>
    <w:rsid w:val="00E35173"/>
    <w:rsid w:val="00E42414"/>
    <w:rsid w:val="00E46873"/>
    <w:rsid w:val="00E54AE6"/>
    <w:rsid w:val="00E8211D"/>
    <w:rsid w:val="00E91A16"/>
    <w:rsid w:val="00E97E62"/>
    <w:rsid w:val="00EB11DF"/>
    <w:rsid w:val="00EC5509"/>
    <w:rsid w:val="00F073E0"/>
    <w:rsid w:val="00F20D0A"/>
    <w:rsid w:val="00F416E7"/>
    <w:rsid w:val="00F42843"/>
    <w:rsid w:val="00F431AC"/>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character" w:styleId="UnresolvedMention">
    <w:name w:val="Unresolved Mention"/>
    <w:basedOn w:val="DefaultParagraphFont"/>
    <w:uiPriority w:val="99"/>
    <w:rsid w:val="00CE6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2024">
      <w:bodyDiv w:val="1"/>
      <w:marLeft w:val="0"/>
      <w:marRight w:val="0"/>
      <w:marTop w:val="0"/>
      <w:marBottom w:val="0"/>
      <w:divBdr>
        <w:top w:val="none" w:sz="0" w:space="0" w:color="auto"/>
        <w:left w:val="none" w:sz="0" w:space="0" w:color="auto"/>
        <w:bottom w:val="none" w:sz="0" w:space="0" w:color="auto"/>
        <w:right w:val="none" w:sz="0" w:space="0" w:color="auto"/>
      </w:divBdr>
    </w:div>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250696577">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638612603">
      <w:bodyDiv w:val="1"/>
      <w:marLeft w:val="0"/>
      <w:marRight w:val="0"/>
      <w:marTop w:val="0"/>
      <w:marBottom w:val="0"/>
      <w:divBdr>
        <w:top w:val="none" w:sz="0" w:space="0" w:color="auto"/>
        <w:left w:val="none" w:sz="0" w:space="0" w:color="auto"/>
        <w:bottom w:val="none" w:sz="0" w:space="0" w:color="auto"/>
        <w:right w:val="none" w:sz="0" w:space="0" w:color="auto"/>
      </w:divBdr>
    </w:div>
    <w:div w:id="687295971">
      <w:bodyDiv w:val="1"/>
      <w:marLeft w:val="0"/>
      <w:marRight w:val="0"/>
      <w:marTop w:val="0"/>
      <w:marBottom w:val="0"/>
      <w:divBdr>
        <w:top w:val="none" w:sz="0" w:space="0" w:color="auto"/>
        <w:left w:val="none" w:sz="0" w:space="0" w:color="auto"/>
        <w:bottom w:val="none" w:sz="0" w:space="0" w:color="auto"/>
        <w:right w:val="none" w:sz="0" w:space="0" w:color="auto"/>
      </w:divBdr>
    </w:div>
    <w:div w:id="691108936">
      <w:bodyDiv w:val="1"/>
      <w:marLeft w:val="0"/>
      <w:marRight w:val="0"/>
      <w:marTop w:val="0"/>
      <w:marBottom w:val="0"/>
      <w:divBdr>
        <w:top w:val="none" w:sz="0" w:space="0" w:color="auto"/>
        <w:left w:val="none" w:sz="0" w:space="0" w:color="auto"/>
        <w:bottom w:val="none" w:sz="0" w:space="0" w:color="auto"/>
        <w:right w:val="none" w:sz="0" w:space="0" w:color="auto"/>
      </w:divBdr>
    </w:div>
    <w:div w:id="831868076">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876235694">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911887611">
      <w:bodyDiv w:val="1"/>
      <w:marLeft w:val="0"/>
      <w:marRight w:val="0"/>
      <w:marTop w:val="0"/>
      <w:marBottom w:val="0"/>
      <w:divBdr>
        <w:top w:val="none" w:sz="0" w:space="0" w:color="auto"/>
        <w:left w:val="none" w:sz="0" w:space="0" w:color="auto"/>
        <w:bottom w:val="none" w:sz="0" w:space="0" w:color="auto"/>
        <w:right w:val="none" w:sz="0" w:space="0" w:color="auto"/>
      </w:divBdr>
    </w:div>
    <w:div w:id="1210267645">
      <w:bodyDiv w:val="1"/>
      <w:marLeft w:val="0"/>
      <w:marRight w:val="0"/>
      <w:marTop w:val="0"/>
      <w:marBottom w:val="0"/>
      <w:divBdr>
        <w:top w:val="none" w:sz="0" w:space="0" w:color="auto"/>
        <w:left w:val="none" w:sz="0" w:space="0" w:color="auto"/>
        <w:bottom w:val="none" w:sz="0" w:space="0" w:color="auto"/>
        <w:right w:val="none" w:sz="0" w:space="0" w:color="auto"/>
      </w:divBdr>
    </w:div>
    <w:div w:id="1213661200">
      <w:bodyDiv w:val="1"/>
      <w:marLeft w:val="0"/>
      <w:marRight w:val="0"/>
      <w:marTop w:val="0"/>
      <w:marBottom w:val="0"/>
      <w:divBdr>
        <w:top w:val="none" w:sz="0" w:space="0" w:color="auto"/>
        <w:left w:val="none" w:sz="0" w:space="0" w:color="auto"/>
        <w:bottom w:val="none" w:sz="0" w:space="0" w:color="auto"/>
        <w:right w:val="none" w:sz="0" w:space="0" w:color="auto"/>
      </w:divBdr>
    </w:div>
    <w:div w:id="1512716546">
      <w:bodyDiv w:val="1"/>
      <w:marLeft w:val="0"/>
      <w:marRight w:val="0"/>
      <w:marTop w:val="0"/>
      <w:marBottom w:val="0"/>
      <w:divBdr>
        <w:top w:val="none" w:sz="0" w:space="0" w:color="auto"/>
        <w:left w:val="none" w:sz="0" w:space="0" w:color="auto"/>
        <w:bottom w:val="none" w:sz="0" w:space="0" w:color="auto"/>
        <w:right w:val="none" w:sz="0" w:space="0" w:color="auto"/>
      </w:divBdr>
    </w:div>
    <w:div w:id="1522622878">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1744797389">
      <w:bodyDiv w:val="1"/>
      <w:marLeft w:val="0"/>
      <w:marRight w:val="0"/>
      <w:marTop w:val="0"/>
      <w:marBottom w:val="0"/>
      <w:divBdr>
        <w:top w:val="none" w:sz="0" w:space="0" w:color="auto"/>
        <w:left w:val="none" w:sz="0" w:space="0" w:color="auto"/>
        <w:bottom w:val="none" w:sz="0" w:space="0" w:color="auto"/>
        <w:right w:val="none" w:sz="0" w:space="0" w:color="auto"/>
      </w:divBdr>
    </w:div>
    <w:div w:id="1746142011">
      <w:bodyDiv w:val="1"/>
      <w:marLeft w:val="0"/>
      <w:marRight w:val="0"/>
      <w:marTop w:val="0"/>
      <w:marBottom w:val="0"/>
      <w:divBdr>
        <w:top w:val="none" w:sz="0" w:space="0" w:color="auto"/>
        <w:left w:val="none" w:sz="0" w:space="0" w:color="auto"/>
        <w:bottom w:val="none" w:sz="0" w:space="0" w:color="auto"/>
        <w:right w:val="none" w:sz="0" w:space="0" w:color="auto"/>
      </w:divBdr>
    </w:div>
    <w:div w:id="1791168517">
      <w:bodyDiv w:val="1"/>
      <w:marLeft w:val="0"/>
      <w:marRight w:val="0"/>
      <w:marTop w:val="0"/>
      <w:marBottom w:val="0"/>
      <w:divBdr>
        <w:top w:val="none" w:sz="0" w:space="0" w:color="auto"/>
        <w:left w:val="none" w:sz="0" w:space="0" w:color="auto"/>
        <w:bottom w:val="none" w:sz="0" w:space="0" w:color="auto"/>
        <w:right w:val="none" w:sz="0" w:space="0" w:color="auto"/>
      </w:divBdr>
    </w:div>
    <w:div w:id="2051566129">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rnal@it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yber@ite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yber@itea.org" TargetMode="External"/><Relationship Id="rId4" Type="http://schemas.openxmlformats.org/officeDocument/2006/relationships/webSettings" Target="webSettings.xml"/><Relationship Id="rId9" Type="http://schemas.openxmlformats.org/officeDocument/2006/relationships/hyperlink" Target="https://www.itea.org/submiss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5046</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3</cp:revision>
  <cp:lastPrinted>2021-01-28T23:52:00Z</cp:lastPrinted>
  <dcterms:created xsi:type="dcterms:W3CDTF">2022-02-20T17:07:00Z</dcterms:created>
  <dcterms:modified xsi:type="dcterms:W3CDTF">2022-02-22T19:01:00Z</dcterms:modified>
</cp:coreProperties>
</file>